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SOUTH DAKOTA</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direct shipping licenses are only provided to wineries.  </w:t>
      </w:r>
    </w:p>
    <w:p w:rsidR="00000000" w:rsidDel="00000000" w:rsidP="00000000" w:rsidRDefault="00000000" w:rsidRPr="00000000" w14:paraId="0000019B">
      <w:pPr>
        <w:widowControl w:val="0"/>
        <w:spacing w:before="220" w:line="228" w:lineRule="auto"/>
        <w:ind w:left="22" w:right="357"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artisan distillers and licensed distillers can sell directly to consumers for on or off-premises consumption at their licensed premises (SDCL § 35-13-19; § 35-13-22). </w:t>
      </w:r>
    </w:p>
    <w:p w:rsidR="00000000" w:rsidDel="00000000" w:rsidP="00000000" w:rsidRDefault="00000000" w:rsidRPr="00000000" w14:paraId="0000019C">
      <w:pPr>
        <w:widowControl w:val="0"/>
        <w:spacing w:before="235" w:line="228" w:lineRule="auto"/>
        <w:ind w:left="18" w:right="263" w:firstLine="4.00000000000000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special measures are in place regarding delivery or shipping for distilleries during this pandemic. An FAQ page only clarifies that Artisan Distiller Licensees (AD) may sell alcohol at their licensed premises for off-premises consumption, however, that has always been the case.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https://www.sdra.org/covid-19-business-qa.html</w:t>
        </w:r>
      </w:hyperlink>
      <w:r w:rsidDel="00000000" w:rsidR="00000000" w:rsidRPr="00000000">
        <w:rPr>
          <w:rtl w:val="0"/>
        </w:rPr>
      </w:r>
    </w:p>
    <w:p w:rsidR="00000000" w:rsidDel="00000000" w:rsidP="00000000" w:rsidRDefault="00000000" w:rsidRPr="00000000" w14:paraId="0000019E">
      <w:pPr>
        <w:widowControl w:val="0"/>
        <w:spacing w:before="225"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25"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South Dakota Codified Laws  </w:t>
      </w:r>
    </w:p>
    <w:p w:rsidR="00000000" w:rsidDel="00000000" w:rsidP="00000000" w:rsidRDefault="00000000" w:rsidRPr="00000000" w14:paraId="000001A0">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35-13-19. Permitted sales by artisan distiller--Limitation. </w:t>
      </w:r>
    </w:p>
    <w:p w:rsidR="00000000" w:rsidDel="00000000" w:rsidP="00000000" w:rsidRDefault="00000000" w:rsidRPr="00000000" w14:paraId="000001A1">
      <w:pPr>
        <w:widowControl w:val="0"/>
        <w:spacing w:line="228" w:lineRule="auto"/>
        <w:ind w:left="14" w:right="66" w:firstLine="1.9999999999999996"/>
        <w:jc w:val="both"/>
        <w:rPr>
          <w:rFonts w:ascii="Calibri" w:cs="Calibri" w:eastAsia="Calibri" w:hAnsi="Calibri"/>
        </w:rPr>
      </w:pPr>
      <w:r w:rsidDel="00000000" w:rsidR="00000000" w:rsidRPr="00000000">
        <w:rPr>
          <w:rFonts w:ascii="Calibri" w:cs="Calibri" w:eastAsia="Calibri" w:hAnsi="Calibri"/>
          <w:rtl w:val="0"/>
        </w:rPr>
        <w:t xml:space="preserve">A licensed artisan distiller may sell on the licensed premises alcoholic beverages produced by the licensee for on-sale or off-sale consumption. A licensed artisan distiller may sell alcoholic beverages produced by the licensee to any wholesaler or retailer authorized to receive the alcoholic beverages. A licensed artisan distiller may sell alcoholic beverages to any licensed artisan distiller, farm winery, microbrewery, or microcidery, if the alcoholic beverage is used in the manufacturing process. </w:t>
      </w:r>
    </w:p>
    <w:p w:rsidR="00000000" w:rsidDel="00000000" w:rsidP="00000000" w:rsidRDefault="00000000" w:rsidRPr="00000000" w14:paraId="000001A2">
      <w:pPr>
        <w:widowControl w:val="0"/>
        <w:spacing w:before="4" w:line="228" w:lineRule="auto"/>
        <w:ind w:left="22" w:right="217" w:hanging="1.0000000000000009"/>
        <w:jc w:val="both"/>
        <w:rPr>
          <w:rFonts w:ascii="Calibri" w:cs="Calibri" w:eastAsia="Calibri" w:hAnsi="Calibri"/>
        </w:rPr>
      </w:pPr>
      <w:r w:rsidDel="00000000" w:rsidR="00000000" w:rsidRPr="00000000">
        <w:rPr>
          <w:rFonts w:ascii="Calibri" w:cs="Calibri" w:eastAsia="Calibri" w:hAnsi="Calibri"/>
          <w:rtl w:val="0"/>
        </w:rPr>
        <w:t xml:space="preserve">The quantity of alcoholic beverages sold pursuant to this section may not exceed the total production limits for the license as specified in § 35-13-13. </w:t>
      </w:r>
    </w:p>
    <w:p w:rsidR="00000000" w:rsidDel="00000000" w:rsidP="00000000" w:rsidRDefault="00000000" w:rsidRPr="00000000" w14:paraId="000001A3">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2">
        <w:r w:rsidDel="00000000" w:rsidR="00000000" w:rsidRPr="00000000">
          <w:rPr>
            <w:rFonts w:ascii="Calibri" w:cs="Calibri" w:eastAsia="Calibri" w:hAnsi="Calibri"/>
            <w:color w:val="1155cc"/>
            <w:u w:val="single"/>
            <w:rtl w:val="0"/>
          </w:rPr>
          <w:t xml:space="preserve">https://sdlegislature.gov/Statutes/Codified_Laws/2059171</w:t>
        </w:r>
      </w:hyperlink>
      <w:r w:rsidDel="00000000" w:rsidR="00000000" w:rsidRPr="00000000">
        <w:rPr>
          <w:rtl w:val="0"/>
        </w:rPr>
      </w:r>
    </w:p>
    <w:p w:rsidR="00000000" w:rsidDel="00000000" w:rsidP="00000000" w:rsidRDefault="00000000" w:rsidRPr="00000000" w14:paraId="000001A4">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35-13-22. Permitted sales by distiller. </w:t>
      </w:r>
    </w:p>
    <w:p w:rsidR="00000000" w:rsidDel="00000000" w:rsidP="00000000" w:rsidRDefault="00000000" w:rsidRPr="00000000" w14:paraId="000001A5">
      <w:pPr>
        <w:widowControl w:val="0"/>
        <w:spacing w:line="228" w:lineRule="auto"/>
        <w:ind w:left="16" w:right="280" w:firstLine="0"/>
        <w:jc w:val="both"/>
        <w:rPr>
          <w:rFonts w:ascii="Calibri" w:cs="Calibri" w:eastAsia="Calibri" w:hAnsi="Calibri"/>
        </w:rPr>
      </w:pPr>
      <w:r w:rsidDel="00000000" w:rsidR="00000000" w:rsidRPr="00000000">
        <w:rPr>
          <w:rFonts w:ascii="Calibri" w:cs="Calibri" w:eastAsia="Calibri" w:hAnsi="Calibri"/>
          <w:rtl w:val="0"/>
        </w:rPr>
        <w:t xml:space="preserve">A licensed distiller may sell on the licensed premises alcoholic beverages produced by the licensee for on-sale or off-sale consumption. A licensed distiller may sell alcoholic beverages produced by the licensee to any wholesaler authorized to receive the alcoholic beverages. </w:t>
      </w:r>
    </w:p>
    <w:p w:rsidR="00000000" w:rsidDel="00000000" w:rsidP="00000000" w:rsidRDefault="00000000" w:rsidRPr="00000000" w14:paraId="000001A6">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rtl w:val="0"/>
        </w:rPr>
        <w:t xml:space="preserve">Link: </w:t>
      </w:r>
      <w:hyperlink r:id="rId13">
        <w:r w:rsidDel="00000000" w:rsidR="00000000" w:rsidRPr="00000000">
          <w:rPr>
            <w:rFonts w:ascii="Calibri" w:cs="Calibri" w:eastAsia="Calibri" w:hAnsi="Calibri"/>
            <w:color w:val="1155cc"/>
            <w:u w:val="single"/>
            <w:rtl w:val="0"/>
          </w:rPr>
          <w:t xml:space="preserve">https://sdlegislature.gov/Statutes/Codified_Laws/2059174</w:t>
        </w:r>
      </w:hyperlink>
      <w:r w:rsidDel="00000000" w:rsidR="00000000" w:rsidRPr="00000000">
        <w:rPr>
          <w:rtl w:val="0"/>
        </w:rPr>
      </w:r>
    </w:p>
    <w:p w:rsidR="00000000" w:rsidDel="00000000" w:rsidP="00000000" w:rsidRDefault="00000000" w:rsidRPr="00000000" w14:paraId="000001A7">
      <w:pPr>
        <w:widowControl w:val="0"/>
        <w:spacing w:before="4" w:line="240" w:lineRule="auto"/>
        <w:ind w:left="19"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A8">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9">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C074F"/>
    <w:pPr>
      <w:tabs>
        <w:tab w:val="center" w:pos="4680"/>
        <w:tab w:val="right" w:pos="9360"/>
      </w:tabs>
      <w:spacing w:line="240" w:lineRule="auto"/>
    </w:pPr>
  </w:style>
  <w:style w:type="character" w:styleId="HeaderChar" w:customStyle="1">
    <w:name w:val="Header Char"/>
    <w:basedOn w:val="DefaultParagraphFont"/>
    <w:link w:val="Header"/>
    <w:uiPriority w:val="99"/>
    <w:rsid w:val="00BC074F"/>
  </w:style>
  <w:style w:type="paragraph" w:styleId="Footer">
    <w:name w:val="footer"/>
    <w:basedOn w:val="Normal"/>
    <w:link w:val="FooterChar"/>
    <w:uiPriority w:val="99"/>
    <w:unhideWhenUsed w:val="1"/>
    <w:rsid w:val="00BC074F"/>
    <w:pPr>
      <w:tabs>
        <w:tab w:val="center" w:pos="4680"/>
        <w:tab w:val="right" w:pos="9360"/>
      </w:tabs>
      <w:spacing w:line="240" w:lineRule="auto"/>
    </w:pPr>
  </w:style>
  <w:style w:type="character" w:styleId="FooterChar" w:customStyle="1">
    <w:name w:val="Footer Char"/>
    <w:basedOn w:val="DefaultParagraphFont"/>
    <w:link w:val="Footer"/>
    <w:uiPriority w:val="99"/>
    <w:rsid w:val="00BC074F"/>
  </w:style>
  <w:style w:type="character" w:styleId="Hyperlink">
    <w:name w:val="Hyperlink"/>
    <w:basedOn w:val="DefaultParagraphFont"/>
    <w:uiPriority w:val="99"/>
    <w:unhideWhenUsed w:val="1"/>
    <w:rsid w:val="000A15F0"/>
    <w:rPr>
      <w:color w:val="0000ff" w:themeColor="hyperlink"/>
      <w:u w:val="single"/>
    </w:rPr>
  </w:style>
  <w:style w:type="character" w:styleId="UnresolvedMention">
    <w:name w:val="Unresolved Mention"/>
    <w:basedOn w:val="DefaultParagraphFont"/>
    <w:uiPriority w:val="99"/>
    <w:semiHidden w:val="1"/>
    <w:unhideWhenUsed w:val="1"/>
    <w:rsid w:val="000A15F0"/>
    <w:rPr>
      <w:color w:val="605e5c"/>
      <w:shd w:color="auto" w:fill="e1dfdd" w:val="clear"/>
    </w:rPr>
  </w:style>
  <w:style w:type="character" w:styleId="CommentReference">
    <w:name w:val="annotation reference"/>
    <w:basedOn w:val="DefaultParagraphFont"/>
    <w:uiPriority w:val="99"/>
    <w:semiHidden w:val="1"/>
    <w:unhideWhenUsed w:val="1"/>
    <w:rsid w:val="00A14FF0"/>
    <w:rPr>
      <w:sz w:val="16"/>
      <w:szCs w:val="16"/>
    </w:rPr>
  </w:style>
  <w:style w:type="paragraph" w:styleId="CommentText">
    <w:name w:val="annotation text"/>
    <w:basedOn w:val="Normal"/>
    <w:link w:val="CommentTextChar"/>
    <w:uiPriority w:val="99"/>
    <w:semiHidden w:val="1"/>
    <w:unhideWhenUsed w:val="1"/>
    <w:rsid w:val="00A14FF0"/>
    <w:pPr>
      <w:spacing w:line="240" w:lineRule="auto"/>
    </w:pPr>
    <w:rPr>
      <w:sz w:val="20"/>
      <w:szCs w:val="20"/>
    </w:rPr>
  </w:style>
  <w:style w:type="character" w:styleId="CommentTextChar" w:customStyle="1">
    <w:name w:val="Comment Text Char"/>
    <w:basedOn w:val="DefaultParagraphFont"/>
    <w:link w:val="CommentText"/>
    <w:uiPriority w:val="99"/>
    <w:semiHidden w:val="1"/>
    <w:rsid w:val="00A14FF0"/>
    <w:rPr>
      <w:sz w:val="20"/>
      <w:szCs w:val="20"/>
    </w:rPr>
  </w:style>
  <w:style w:type="paragraph" w:styleId="CommentSubject">
    <w:name w:val="annotation subject"/>
    <w:basedOn w:val="CommentText"/>
    <w:next w:val="CommentText"/>
    <w:link w:val="CommentSubjectChar"/>
    <w:uiPriority w:val="99"/>
    <w:semiHidden w:val="1"/>
    <w:unhideWhenUsed w:val="1"/>
    <w:rsid w:val="00A14FF0"/>
    <w:rPr>
      <w:b w:val="1"/>
      <w:bCs w:val="1"/>
    </w:rPr>
  </w:style>
  <w:style w:type="character" w:styleId="CommentSubjectChar" w:customStyle="1">
    <w:name w:val="Comment Subject Char"/>
    <w:basedOn w:val="CommentTextChar"/>
    <w:link w:val="CommentSubject"/>
    <w:uiPriority w:val="99"/>
    <w:semiHidden w:val="1"/>
    <w:rsid w:val="00A14FF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dra.org/covid-19-business-qa.html" TargetMode="External"/><Relationship Id="rId10" Type="http://schemas.openxmlformats.org/officeDocument/2006/relationships/footer" Target="footer1.xml"/><Relationship Id="rId13" Type="http://schemas.openxmlformats.org/officeDocument/2006/relationships/hyperlink" Target="https://sdlegislature.gov/Statutes/Codified_Laws/2059174" TargetMode="External"/><Relationship Id="rId12" Type="http://schemas.openxmlformats.org/officeDocument/2006/relationships/hyperlink" Target="https://sdlegislature.gov/Statutes/Codified_Laws/20591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zZh4cmYpExrEgqJGcvbMufuvg==">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2021-08-09T18:33:00Z</dcterms:created>
</cp:coreProperties>
</file>